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0322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-570865</wp:posOffset>
            </wp:positionV>
            <wp:extent cx="610870" cy="779780"/>
            <wp:effectExtent l="0" t="0" r="17780" b="127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104DFD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02E60FD9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REPUBLICA MOLDOVA</w:t>
      </w:r>
    </w:p>
    <w:p w14:paraId="28AA440E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RAIONUL CĂUȘENI</w:t>
      </w:r>
    </w:p>
    <w:p w14:paraId="4F18C7FA">
      <w:pPr>
        <w:widowControl w:val="0"/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CONSILIUL COMUNAL BACCEALIA</w:t>
      </w:r>
    </w:p>
    <w:p w14:paraId="44F0CA91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29210</wp:posOffset>
                </wp:positionV>
                <wp:extent cx="5843905" cy="45085"/>
                <wp:effectExtent l="0" t="12700" r="4445" b="1841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45085"/>
                          <a:chOff x="1874" y="3266"/>
                          <a:chExt cx="9203" cy="102"/>
                        </a:xfrm>
                        <a:effectLst/>
                      </wpg:grpSpPr>
                      <wps:wsp>
                        <wps:cNvPr id="2" name="Прямая со стрелкой 2"/>
                        <wps:cNvCnPr/>
                        <wps:spPr>
                          <a:xfrm>
                            <a:off x="1877" y="3368"/>
                            <a:ext cx="9197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>
                            <a:off x="1877" y="3319"/>
                            <a:ext cx="9200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FF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1874" y="3266"/>
                            <a:ext cx="920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4pt;margin-top:2.3pt;height:3.55pt;width:460.15pt;z-index:251660288;mso-width-relative:page;mso-height-relative:page;" coordorigin="1874,3266" coordsize="9203,102" o:gfxdata="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NSofV1gAAAAcBAAAPAAAAAAAAAAEAIAAAACIAAABkcnMvZG93bnJldi54&#10;bWxQSwECFAAUAAAACACHTuJALTVtyOACAACnCQAADgAAAAAAAAABACAAAAAlAQAAZHJzL2Uyb0Rv&#10;Yy54bWxQSwUGAAAAAAYABgBZAQAAdwYAAAAA&#10;">
                <o:lock v:ext="edit" aspectratio="f"/>
                <v:shape id="_x0000_s1026" o:spid="_x0000_s1026" o:spt="32" type="#_x0000_t32" style="position:absolute;left:1877;top:3368;height:0;width:9197;" filled="f" stroked="t" coordsize="21600,21600" o:gfxdata="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yajy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CC" joinstyle="round"/>
                  <v:imagedata o:title=""/>
                  <o:lock v:ext="edit" aspectratio="f"/>
                </v:shape>
                <v:shape id="_x0000_s1026" o:spid="_x0000_s1026" o:spt="32" type="#_x0000_t32" style="position:absolute;left:1877;top:3319;height:0;width:9200;" filled="f" stroked="t" coordsize="21600,21600" o:gfxdata="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8zDB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66" joinstyle="round"/>
                  <v:imagedata o:title=""/>
                  <o:lock v:ext="edit" aspectratio="f"/>
                </v:shape>
                <v:shape id="_x0000_s1026" o:spid="_x0000_s1026" o:spt="32" type="#_x0000_t32" style="position:absolute;left:1874;top:3266;height:1;width:9200;" filled="f" stroked="t" coordsize="21600,21600" o:gfxdata="UEsDBAoAAAAAAIdO4kAAAAAAAAAAAAAAAAAEAAAAZHJzL1BLAwQUAAAACACHTuJAg6gqDb0AAADa&#10;AAAADwAAAGRycy9kb3ducmV2LnhtbEWPQWvCQBSE74L/YXmFXkR3IyV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CoN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5E257E7">
      <w:pPr>
        <w:keepNext w:val="0"/>
        <w:keepLines w:val="0"/>
        <w:widowControl/>
        <w:suppressLineNumbers w:val="0"/>
        <w:spacing w:before="0" w:beforeAutospacing="0" w:after="0" w:afterAutospacing="0"/>
        <w:ind w:left="-420" w:right="0"/>
        <w:jc w:val="center"/>
        <w:rPr>
          <w:sz w:val="28"/>
          <w:szCs w:val="28"/>
          <w:u w:val="none"/>
          <w:lang w:val="ro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MD-4311, com. B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accealia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, r-nul  C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ăușeni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tel.024379586;  mob: 067101016; primaria.baccealia@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zh-CN" w:bidi="ar"/>
        </w:rPr>
        <w:t>apl.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gov.md</w:t>
      </w:r>
    </w:p>
    <w:p w14:paraId="59FC29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ro"/>
        </w:rPr>
      </w:pPr>
    </w:p>
    <w:p w14:paraId="714E7F0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ro"/>
        </w:rPr>
      </w:pPr>
    </w:p>
    <w:p w14:paraId="10D5E45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DECIZIE </w:t>
      </w: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>nr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.4/</w:t>
      </w: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>10</w:t>
      </w:r>
    </w:p>
    <w:p w14:paraId="6357F90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Din 2024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3BB3A23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D42719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Cu privire la instituirea comisiei de casare a unor </w:t>
      </w:r>
    </w:p>
    <w:p w14:paraId="01042C7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bunuri materiale de la Grădinița com. Baccealia</w:t>
      </w:r>
    </w:p>
    <w:p w14:paraId="3D6F72E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397F41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" w:firstLineChars="5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 xml:space="preserve">Având în vedere demersul  directorului IET Grădinița Baccealia, Onoi Adriana înregistrat cu nr.32 din 01.08.2024  cu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documentele anexate, privind permisiunea de a casa unele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unele bunuri de la rubrica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mijloace fixe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(plită electrică)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cu termen de folosire expirat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și care nu pot fi supuse reparației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în conformitate cu Regulamentul privind casarea bunurilor uzate, raportate la mijloacele fixe, aprobat prin Hotărârea Guvernului nr.500/1998, art.</w:t>
      </w:r>
      <w:r>
        <w:rPr>
          <w:rFonts w:hint="default" w:ascii="Times New Roman" w:hAnsi="Times New Roman" w:cs="Times New Roman"/>
          <w:sz w:val="24"/>
          <w:szCs w:val="24"/>
          <w:lang/>
        </w:rPr>
        <w:t>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alin.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2) 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, b), d)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şi art.</w:t>
      </w:r>
      <w:r>
        <w:rPr>
          <w:rFonts w:hint="default" w:ascii="Times New Roman" w:hAnsi="Times New Roman" w:cs="Times New Roman"/>
          <w:sz w:val="24"/>
          <w:szCs w:val="24"/>
          <w:lang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alin.(1) din Legea nr.436/2006 privind administraţia publică locală,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Consiliul comunal Baccealia,</w:t>
      </w:r>
    </w:p>
    <w:p w14:paraId="5B770A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" w:firstLineChars="50"/>
        <w:jc w:val="center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DECIDE:</w:t>
      </w:r>
    </w:p>
    <w:p w14:paraId="66B0B04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Se instituie comisia de casare  a unor bunuri materiale de la rubrica mijloace fixe, ”plită electrică” înregistrată cod____ , în valoare de  ________ de la Grădinița com. Baccealia după cum urmează:</w:t>
      </w:r>
    </w:p>
    <w:p w14:paraId="4B7C37D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" w:firstLineChars="5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Președintele comisiei: Nenov Claudia, primarița</w:t>
      </w:r>
    </w:p>
    <w:p w14:paraId="7FCF2AD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" w:firstLineChars="5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Membrii comisiei: Moldovan Nina, contabil șef</w:t>
      </w:r>
    </w:p>
    <w:p w14:paraId="467A908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" w:firstLineChars="5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 xml:space="preserve">                             Onoi Adriana, director IET Grădinița Baccealia</w:t>
      </w:r>
    </w:p>
    <w:p w14:paraId="560EFB6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" w:firstLineChars="5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 xml:space="preserve">                             Pocnea Raisa, șef de gospodărie IET</w:t>
      </w:r>
    </w:p>
    <w:p w14:paraId="4B064D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20" w:firstLineChars="5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 xml:space="preserve">                             Moldovan Ina, educator/consilier</w:t>
      </w:r>
    </w:p>
    <w:p w14:paraId="4F94285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Se pune în sarcina comisiei de casare de a întocmi procesul - verbal și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recerea la pierderi a mijloacelor fixe menționate  în conformitate cu prevederile Regulamentului privind casarea bunurilor uzate raportate la mijloace fixe</w:t>
      </w:r>
      <w:r>
        <w:rPr>
          <w:rFonts w:hint="default" w:ascii="Times New Roman" w:hAnsi="Times New Roman" w:cs="Times New Roman"/>
          <w:sz w:val="24"/>
          <w:szCs w:val="24"/>
          <w:lang/>
        </w:rPr>
        <w:t>.</w:t>
      </w:r>
    </w:p>
    <w:p w14:paraId="442E6CF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Responsabil privind executarea prezentei decizii se pune în sarcina primăriței com. Baccealia, Nenov Claudia.</w:t>
      </w:r>
    </w:p>
    <w:p w14:paraId="3292FFD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Prezenta decizie se plasează în RSAL și se aduce la cunoștință persoanelor vizate, directorului IET Grădinița Baccealia.</w:t>
      </w:r>
    </w:p>
    <w:p w14:paraId="2D4B1DF6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</w:p>
    <w:p w14:paraId="13A313DB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</w:p>
    <w:p w14:paraId="44CA5630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Peședintele ședinței</w:t>
      </w:r>
    </w:p>
    <w:p w14:paraId="14365E57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Contrasemnează :</w:t>
      </w:r>
    </w:p>
    <w:p w14:paraId="0294D70D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Secretar al consiliului comunal Baccealia                     Țăbîrnă Natalia</w:t>
      </w:r>
    </w:p>
    <w:p w14:paraId="3F64BE4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ro"/>
        </w:rPr>
      </w:pPr>
    </w:p>
    <w:p w14:paraId="6406C4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0B62CFA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58FB2F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7C8493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474E82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292244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19B5E7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NOTA DE FUNDAMENTARE</w:t>
      </w:r>
    </w:p>
    <w:p w14:paraId="1D1EE52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la proiectul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Cu privire la instituirea comisiei de casare a unor </w:t>
      </w:r>
    </w:p>
    <w:p w14:paraId="69DDAE4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bunuri materiale de la Grădinița com. Baccealia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/>
        </w:rPr>
        <w:t>”</w:t>
      </w:r>
    </w:p>
    <w:p w14:paraId="6D2AE3CF">
      <w:pPr>
        <w:ind w:firstLine="1440" w:firstLineChars="600"/>
        <w:jc w:val="left"/>
        <w:rPr>
          <w:rFonts w:hint="default" w:cs="Times New Roman"/>
          <w:sz w:val="24"/>
          <w:szCs w:val="24"/>
        </w:rPr>
      </w:pPr>
    </w:p>
    <w:tbl>
      <w:tblPr>
        <w:tblStyle w:val="4"/>
        <w:tblW w:w="960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87A4E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14:paraId="07E4E7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Autor , primarița comunei Baccealia, Nenov Claudia, executat , Secretar</w:t>
            </w:r>
            <w:r>
              <w:rPr>
                <w:rFonts w:hint="default" w:ascii="Times New Roman" w:hAnsi="Times New Roman" w:eastAsia="Calibri"/>
                <w:sz w:val="24"/>
                <w:szCs w:val="24"/>
                <w:lang/>
              </w:rPr>
              <w:t>a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consiliului, Țîbîrnă Natalia</w:t>
            </w:r>
          </w:p>
        </w:tc>
      </w:tr>
      <w:tr w14:paraId="54985D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14:paraId="4F7966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14:paraId="7376C8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EADD">
            <w:pPr>
              <w:widowControl w:val="0"/>
              <w:jc w:val="both"/>
              <w:rPr>
                <w:rFonts w:ascii="Times New Roman" w:hAnsi="Times New Roman" w:eastAsia="Calibri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Georgia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Î</w:t>
            </w:r>
            <w:r>
              <w:rPr>
                <w:rFonts w:hint="default" w:ascii="Times New Roman" w:hAnsi="Times New Roman" w:eastAsia="Georgia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n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conformitate cu Regulamentul privind casarea bunurilor uzate, raportate la mijloacele fixe, aprobat prin Hotărârea Guvernului nr.500/1998, art.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alin.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2)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, b), d)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şi art.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alin.(1) din Legea nr.436/2006 privind administraţia publică locală,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14:paraId="6F56D6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14:paraId="309631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A9C7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zh-CN"/>
              </w:rPr>
              <w:t xml:space="preserve"> Prin proiectul de decizie se propune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/>
              </w:rPr>
              <w:t>casarea bunurilor fixe neutilizate  .</w:t>
            </w:r>
          </w:p>
        </w:tc>
      </w:tr>
      <w:tr w14:paraId="595D39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14:paraId="256ADA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14:paraId="6647A4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090B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Prin aprobarea deciziei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lang/>
              </w:rPr>
              <w:t>se prevede 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copul casării mijloacelor fixe, care au devenit inutilizabile şi nu pot fi supuse reparaţiei.</w:t>
            </w:r>
          </w:p>
        </w:tc>
      </w:tr>
      <w:tr w14:paraId="376143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14:paraId="322ED7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8C50">
            <w:pPr>
              <w:widowControl w:val="0"/>
              <w:jc w:val="both"/>
              <w:rPr>
                <w:rFonts w:hint="default" w:ascii="Times New Roman" w:hAnsi="Times New Roman" w:eastAsia="Calibri"/>
                <w:i/>
                <w:iCs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eastAsia="Calibri"/>
                <w:i/>
                <w:iCs/>
                <w:sz w:val="24"/>
                <w:szCs w:val="24"/>
                <w:lang/>
              </w:rPr>
              <w:t>Gestionarea corectă a bunurilor instituției</w:t>
            </w:r>
          </w:p>
        </w:tc>
      </w:tr>
      <w:tr w14:paraId="64CCC4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14:paraId="071216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D549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4.1. Impactul asupra sectorului public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„Nu este aplicabil”. </w:t>
            </w:r>
          </w:p>
        </w:tc>
      </w:tr>
      <w:tr w14:paraId="44F244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4.2. Impactul financiar și argumentarea costurilor estimative</w:t>
            </w:r>
            <w:r>
              <w:rPr>
                <w:rFonts w:hint="default" w:ascii="Times New Roman" w:hAnsi="Times New Roman" w:eastAsia="Calibri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eastAsia="Calibri"/>
                <w:i/>
                <w:iCs/>
                <w:sz w:val="24"/>
                <w:szCs w:val="24"/>
                <w:lang/>
              </w:rPr>
              <w:t>Surse financiare nu sunt necesare</w:t>
            </w:r>
          </w:p>
        </w:tc>
      </w:tr>
      <w:tr w14:paraId="02E2B5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14:paraId="7424CF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 Impactul social</w:t>
            </w:r>
          </w:p>
          <w:p w14:paraId="4E529115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4.4.1. Impactul asupra datelor cu caracter personal</w:t>
            </w:r>
          </w:p>
          <w:p w14:paraId="5094B65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14:paraId="5A26B0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4.5. Impactul asupra mediului</w:t>
            </w:r>
          </w:p>
        </w:tc>
      </w:tr>
      <w:tr w14:paraId="42A020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14:paraId="3227B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14:paraId="564B5E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B1A2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Nu este aplicabil”. </w:t>
            </w:r>
          </w:p>
        </w:tc>
      </w:tr>
      <w:tr w14:paraId="1541F0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14:paraId="5FD624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14:paraId="494CA7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/>
              </w:rPr>
              <w:t xml:space="preserve"> Convocarea comisiei de casare, evaluarea bunului , întocmirea procesului verbal și stabilirea uzurii, emiterea actului  de trecere la pierderi a valorii bunului.</w:t>
            </w:r>
          </w:p>
        </w:tc>
      </w:tr>
    </w:tbl>
    <w:p w14:paraId="3EF28892">
      <w:pPr>
        <w:spacing w:line="360" w:lineRule="auto"/>
        <w:rPr>
          <w:lang w:val="zh-CN"/>
        </w:rPr>
      </w:pPr>
    </w:p>
    <w:p w14:paraId="16028C02">
      <w:pPr>
        <w:jc w:val="both"/>
        <w:rPr>
          <w:lang w:val="zh-CN"/>
        </w:rPr>
      </w:pPr>
    </w:p>
    <w:p w14:paraId="63E7D0F2">
      <w:pPr>
        <w:jc w:val="right"/>
        <w:rPr>
          <w:lang w:val="zh-CN"/>
        </w:rPr>
      </w:pPr>
    </w:p>
    <w:p w14:paraId="5782DD9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</w:p>
    <w:p w14:paraId="7863CCC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Aviz </w:t>
      </w:r>
    </w:p>
    <w:p w14:paraId="7383629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de expertiză  anticorupție la proiectul de decizie </w:t>
      </w:r>
    </w:p>
    <w:p w14:paraId="0D3F054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566" w:firstLineChars="650"/>
        <w:jc w:val="left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Cu privire la instituirea comisiei de casare a unor </w:t>
      </w:r>
    </w:p>
    <w:p w14:paraId="505C47FA">
      <w:pPr>
        <w:ind w:firstLine="120" w:firstLineChars="5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bunuri materiale de la Grădinița com. Baccealia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;</w:t>
      </w:r>
    </w:p>
    <w:p w14:paraId="2B05E546">
      <w:pPr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013FC8D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Autorul garantează pe propria răspundere că proiectul de decizie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Cu privire la instituirea comisiei de casare a unor bunuri materiale de la Grădinița com. Baccealia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” privind punerea în aplicație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Regulamentul privind casarea bunurilor uzate, raportate la mijloacele fixe, aprobat prin Hotărârea Guvernului nr.500/1998, art.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alin.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o-RO"/>
        </w:rPr>
        <w:t>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2)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, b), d)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şi art.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alin.(1) din Legea nr.436/2006 privind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/>
        </w:rPr>
        <w:t>administrația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publică locală,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 respectă interesul public și în redacția propusă nu conține factori de risc care pot genera riscuri de corupție.</w:t>
      </w:r>
    </w:p>
    <w:p w14:paraId="3AF28997">
      <w:p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</w:p>
    <w:p w14:paraId="049C6B4A">
      <w:pPr>
        <w:tabs>
          <w:tab w:val="left" w:pos="884"/>
          <w:tab w:val="left" w:pos="1196"/>
        </w:tabs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Prim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/>
        </w:rPr>
        <w:t>ă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rița com. Baccealia          Nenov Claudia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 </w:t>
      </w:r>
    </w:p>
    <w:p w14:paraId="378ADF3E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0439765D">
      <w:pPr>
        <w:tabs>
          <w:tab w:val="left" w:pos="3140"/>
        </w:tabs>
        <w:jc w:val="center"/>
        <w:rPr>
          <w:lang w:val="zh-CN" w:eastAsia="en-US"/>
        </w:rPr>
      </w:pPr>
    </w:p>
    <w:p w14:paraId="4A96383C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F3C999B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9081D3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EE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C5764"/>
    <w:multiLevelType w:val="singleLevel"/>
    <w:tmpl w:val="1ACC576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4F1D"/>
    <w:rsid w:val="599A2237"/>
    <w:rsid w:val="7D2E614B"/>
    <w:rsid w:val="7D68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2024-08-14T11:13:10Z</dcterms:created>
  <dc:creator>user</dc:creator>
  <cp:lastModifiedBy>user</cp:lastModifiedBy>
  <dcterms:modified xsi:type="dcterms:W3CDTF">2024-08-14T12:28:31Z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FA99558EC5B84B769FAB38BDA024C01B_12</vt:lpwstr>
  </property>
</Properties>
</file>